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1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Sultan Babatin</w:t>
      </w:r>
    </w:p>
    <w:p w:rsidR="00000000" w:rsidDel="00000000" w:rsidP="00000000" w:rsidRDefault="00000000" w:rsidRPr="00000000" w14:paraId="00000001">
      <w:pPr>
        <w:spacing w:after="1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Rami </w:t>
      </w:r>
    </w:p>
    <w:p w:rsidR="00000000" w:rsidDel="00000000" w:rsidP="00000000" w:rsidRDefault="00000000" w:rsidRPr="00000000" w14:paraId="00000002">
      <w:pPr>
        <w:spacing w:after="1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02/26/18</w:t>
      </w:r>
    </w:p>
    <w:p w:rsidR="00000000" w:rsidDel="00000000" w:rsidP="00000000" w:rsidRDefault="00000000" w:rsidRPr="00000000" w14:paraId="00000003">
      <w:pPr>
        <w:spacing w:after="1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Critical paper 1</w:t>
      </w:r>
    </w:p>
    <w:p w:rsidR="00000000" w:rsidDel="00000000" w:rsidP="00000000" w:rsidRDefault="00000000" w:rsidRPr="00000000" w14:paraId="00000004">
      <w:pPr>
        <w:spacing w:after="1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Syrian Arab Republic: From: the Government and Politics of the Middle East and North Africa</w:t>
      </w:r>
    </w:p>
    <w:p w:rsidR="00000000" w:rsidDel="00000000" w:rsidP="00000000" w:rsidRDefault="00000000" w:rsidRPr="00000000" w14:paraId="00000005">
      <w:pPr>
        <w:spacing w:after="1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According to the article, in 1516 the Ottoman Empire conquered Syria and incorporated it into its empire (</w:t>
      </w:r>
      <w:r w:rsidDel="00000000" w:rsidR="00000000" w:rsidRPr="00000000">
        <w:rPr>
          <w:rFonts w:ascii="Times New Roman" w:cs="Times New Roman" w:eastAsia="Times New Roman" w:hAnsi="Times New Roman"/>
          <w:color w:val="2f2f2f"/>
          <w:sz w:val="24"/>
          <w:szCs w:val="24"/>
          <w:rtl w:val="0"/>
        </w:rPr>
        <w:t xml:space="preserve">Hinnebusch &amp; Lesch, 2013)</w:t>
      </w:r>
      <w:r w:rsidDel="00000000" w:rsidR="00000000" w:rsidRPr="00000000">
        <w:rPr>
          <w:rFonts w:ascii="Times New Roman" w:cs="Times New Roman" w:eastAsia="Times New Roman" w:hAnsi="Times New Roman"/>
          <w:sz w:val="24"/>
          <w:szCs w:val="24"/>
          <w:rtl w:val="0"/>
        </w:rPr>
        <w:t xml:space="preserve">. The Ottoman system of governance was easily adapted by Syrians because it was not burdensome and because Turks respected Arabic as the language of the Quran and accepted the mantle of defenders of the faith. This is to mean that at that period, the Ottoman administration followed a system that led to peaceful coexistence in Syria. As time went by, the Ottoman started to face some challenges in defending itself against foreign invasion. In fact, the article talks about how European supported the pan- Islamism and put efforts in developing Syria’s agricultural and commercial sectors which are things that somehow threatened the Ottoman’s existence in Syria (</w:t>
      </w:r>
      <w:r w:rsidDel="00000000" w:rsidR="00000000" w:rsidRPr="00000000">
        <w:rPr>
          <w:rFonts w:ascii="Times New Roman" w:cs="Times New Roman" w:eastAsia="Times New Roman" w:hAnsi="Times New Roman"/>
          <w:color w:val="2f2f2f"/>
          <w:sz w:val="24"/>
          <w:szCs w:val="24"/>
          <w:rtl w:val="0"/>
        </w:rPr>
        <w:t xml:space="preserve">Hinnebusch &amp; Lesch, 2013)</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spacing w:after="1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18"/>
          <w:szCs w:val="18"/>
          <w:rtl w:val="0"/>
        </w:rPr>
        <w:tab/>
      </w:r>
      <w:r w:rsidDel="00000000" w:rsidR="00000000" w:rsidRPr="00000000">
        <w:rPr>
          <w:rFonts w:ascii="Times New Roman" w:cs="Times New Roman" w:eastAsia="Times New Roman" w:hAnsi="Times New Roman"/>
          <w:sz w:val="24"/>
          <w:szCs w:val="24"/>
          <w:rtl w:val="0"/>
        </w:rPr>
        <w:t xml:space="preserve">As time went by, the Ottoman Empire was not able to keep up with European countries and, therefore, it decided to forge alliance with Britain and Russia. The article talks about how Istanbul feared that Arab nationalism could be used as an ideological wedge to break Syria free from the Ottoman Empire (</w:t>
      </w:r>
      <w:r w:rsidDel="00000000" w:rsidR="00000000" w:rsidRPr="00000000">
        <w:rPr>
          <w:rFonts w:ascii="Times New Roman" w:cs="Times New Roman" w:eastAsia="Times New Roman" w:hAnsi="Times New Roman"/>
          <w:color w:val="2f2f2f"/>
          <w:sz w:val="24"/>
          <w:szCs w:val="24"/>
          <w:rtl w:val="0"/>
        </w:rPr>
        <w:t xml:space="preserve">Hinnebusch &amp; Lesch, 2013)</w:t>
      </w:r>
      <w:r w:rsidDel="00000000" w:rsidR="00000000" w:rsidRPr="00000000">
        <w:rPr>
          <w:rFonts w:ascii="Times New Roman" w:cs="Times New Roman" w:eastAsia="Times New Roman" w:hAnsi="Times New Roman"/>
          <w:sz w:val="24"/>
          <w:szCs w:val="24"/>
          <w:rtl w:val="0"/>
        </w:rPr>
        <w:t xml:space="preserve">. Here, it would be plausible to believe that the rise of nationalism affected some territories within the empire as the empire could not catch up with western development. The inability to catch up with western development ended with dismemberment of some territories such as </w:t>
      </w:r>
      <w:r w:rsidDel="00000000" w:rsidR="00000000" w:rsidRPr="00000000">
        <w:rPr>
          <w:rFonts w:ascii="Times New Roman" w:cs="Times New Roman" w:eastAsia="Times New Roman" w:hAnsi="Times New Roman"/>
          <w:i w:val="1"/>
          <w:sz w:val="24"/>
          <w:szCs w:val="24"/>
          <w:rtl w:val="0"/>
        </w:rPr>
        <w:t xml:space="preserve">bilad ash-sham </w:t>
      </w:r>
      <w:r w:rsidDel="00000000" w:rsidR="00000000" w:rsidRPr="00000000">
        <w:rPr>
          <w:rFonts w:ascii="Times New Roman" w:cs="Times New Roman" w:eastAsia="Times New Roman" w:hAnsi="Times New Roman"/>
          <w:sz w:val="24"/>
          <w:szCs w:val="24"/>
          <w:rtl w:val="0"/>
        </w:rPr>
        <w:t xml:space="preserve">that was occupied by British and French. It is critical how the dismemberment led to the creation of other ministates such as Lebanon, Jordan, Iskanderun, Hatay, and Palestine that also dismembered from the Syrian rump. </w:t>
      </w:r>
    </w:p>
    <w:p w:rsidR="00000000" w:rsidDel="00000000" w:rsidP="00000000" w:rsidRDefault="00000000" w:rsidRPr="00000000" w14:paraId="00000007">
      <w:pPr>
        <w:spacing w:after="1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18"/>
          <w:szCs w:val="18"/>
          <w:rtl w:val="0"/>
        </w:rPr>
        <w:tab/>
      </w:r>
      <w:r w:rsidDel="00000000" w:rsidR="00000000" w:rsidRPr="00000000">
        <w:rPr>
          <w:rFonts w:ascii="Times New Roman" w:cs="Times New Roman" w:eastAsia="Times New Roman" w:hAnsi="Times New Roman"/>
          <w:sz w:val="24"/>
          <w:szCs w:val="24"/>
          <w:rtl w:val="0"/>
        </w:rPr>
        <w:t xml:space="preserve">The essence of the growing sense of ethnic nationalism may have made nationalistic thought one of the most significant Western ideas imported to the Ottoman Empire. This created an emergency for the Ottoman to see the need for dealing with nationalism as something that was about to create a crisis in its empire. For this reason, it extended within and beyond its borders such as borders with Turkey to the north and Iraq to the east simply to make sure that nationalism did not cause more problems to the empire. Unfortunately, the Ottoman Empire did not succeed at its efforts in Syria something that led to its withdrawal in 1918. </w:t>
      </w:r>
    </w:p>
    <w:p w:rsidR="00000000" w:rsidDel="00000000" w:rsidP="00000000" w:rsidRDefault="00000000" w:rsidRPr="00000000" w14:paraId="00000008">
      <w:pPr>
        <w:spacing w:after="180" w:lineRule="auto"/>
        <w:contextualSpacing w:val="0"/>
        <w:rPr/>
      </w:pPr>
      <w:r w:rsidDel="00000000" w:rsidR="00000000" w:rsidRPr="00000000">
        <w:rPr>
          <w:rFonts w:ascii="Times New Roman" w:cs="Times New Roman" w:eastAsia="Times New Roman" w:hAnsi="Times New Roman"/>
          <w:sz w:val="24"/>
          <w:szCs w:val="24"/>
          <w:rtl w:val="0"/>
        </w:rPr>
        <w:t xml:space="preserve">Even after the Ottoman had withdrawn from Syria, article explains how its allies had a hidden agenda or other opinions of colonizing Syria. For example, it explains how French kept the original agreement of “Sykes-Picot” and made a few amendments that created what the article refers to as the “mandate.” In simple words, through the mandate, the French argued that Syrian </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